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F9" w:rsidRDefault="001468F9" w:rsidP="001468F9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:rsidR="001468F9" w:rsidRDefault="001468F9" w:rsidP="001468F9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:rsidR="001468F9" w:rsidRDefault="001468F9" w:rsidP="001468F9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:rsidR="001468F9" w:rsidRDefault="001468F9" w:rsidP="001468F9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1468F9" w:rsidRDefault="001468F9" w:rsidP="001468F9">
      <w:pPr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1468F9" w:rsidRDefault="001468F9" w:rsidP="001468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1468F9" w:rsidRDefault="001468F9" w:rsidP="001468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ОПИФ рыночных финансовых инструментов «ТКБ Инвестмент Партнерс – Фонд сбалансированный» (Правила доверительного управления фондом зарегистрированы </w:t>
      </w:r>
      <w:r w:rsidR="00F66905">
        <w:rPr>
          <w:sz w:val="24"/>
          <w:szCs w:val="24"/>
        </w:rPr>
        <w:t>ФКЦБ</w:t>
      </w:r>
      <w:bookmarkStart w:id="0" w:name="_GoBack"/>
      <w:bookmarkEnd w:id="0"/>
      <w:r>
        <w:rPr>
          <w:sz w:val="24"/>
          <w:szCs w:val="24"/>
        </w:rPr>
        <w:t xml:space="preserve"> России 24.12.2002 за № 0078-58234010). </w:t>
      </w:r>
    </w:p>
    <w:p w:rsidR="001468F9" w:rsidRDefault="001468F9" w:rsidP="001468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1468F9" w:rsidRDefault="001468F9" w:rsidP="001468F9">
      <w:pPr>
        <w:spacing w:line="360" w:lineRule="auto"/>
        <w:ind w:firstLine="709"/>
        <w:jc w:val="both"/>
        <w:rPr>
          <w:sz w:val="24"/>
          <w:szCs w:val="24"/>
        </w:rPr>
      </w:pPr>
    </w:p>
    <w:p w:rsidR="001468F9" w:rsidRDefault="001468F9" w:rsidP="001468F9">
      <w:pPr>
        <w:autoSpaceDE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  <w:r>
        <w:rPr>
          <w:b/>
          <w:bCs/>
        </w:rPr>
        <w:br w:type="page"/>
      </w:r>
    </w:p>
    <w:p w:rsidR="00E9397C" w:rsidRPr="00E9397C" w:rsidRDefault="00496F37" w:rsidP="00E9397C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E9397C"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E9397C">
        <w:rPr>
          <w:rFonts w:ascii="Times New Roman" w:hAnsi="Times New Roman" w:cs="Times New Roman"/>
          <w:b/>
          <w:bCs/>
        </w:rPr>
        <w:t xml:space="preserve">               </w:t>
      </w:r>
      <w:r w:rsidR="00E9397C" w:rsidRPr="00E9397C">
        <w:rPr>
          <w:rFonts w:ascii="Times New Roman" w:hAnsi="Times New Roman" w:cs="Times New Roman"/>
          <w:b/>
          <w:bCs/>
        </w:rPr>
        <w:t>УТВЕРЖДЕНЫ</w:t>
      </w:r>
    </w:p>
    <w:p w:rsidR="00E9397C" w:rsidRPr="00E9397C" w:rsidRDefault="00E9397C" w:rsidP="00C435CB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</w:t>
      </w:r>
      <w:r w:rsidR="00C435CB">
        <w:rPr>
          <w:b/>
          <w:bCs/>
          <w:sz w:val="24"/>
          <w:szCs w:val="24"/>
        </w:rPr>
        <w:t xml:space="preserve">                </w:t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1240EF">
        <w:rPr>
          <w:b/>
          <w:bCs/>
          <w:sz w:val="24"/>
          <w:szCs w:val="24"/>
        </w:rPr>
        <w:t xml:space="preserve">         </w:t>
      </w:r>
      <w:r w:rsidRPr="00E9397C">
        <w:rPr>
          <w:b/>
          <w:bCs/>
          <w:sz w:val="24"/>
          <w:szCs w:val="24"/>
        </w:rPr>
        <w:t xml:space="preserve">Приказом </w:t>
      </w:r>
      <w:r w:rsidR="001240EF">
        <w:rPr>
          <w:b/>
          <w:bCs/>
          <w:sz w:val="24"/>
          <w:szCs w:val="24"/>
        </w:rPr>
        <w:t xml:space="preserve">И.о. </w:t>
      </w:r>
      <w:r w:rsidRPr="00E9397C">
        <w:rPr>
          <w:b/>
          <w:bCs/>
          <w:sz w:val="24"/>
          <w:szCs w:val="24"/>
        </w:rPr>
        <w:t>Генерального директора</w:t>
      </w:r>
    </w:p>
    <w:p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                              </w:t>
      </w:r>
      <w:r w:rsidR="00C435CB">
        <w:rPr>
          <w:b/>
          <w:bCs/>
          <w:sz w:val="24"/>
          <w:szCs w:val="24"/>
        </w:rPr>
        <w:t xml:space="preserve">   </w:t>
      </w:r>
      <w:r w:rsidRPr="00E9397C">
        <w:rPr>
          <w:b/>
          <w:bCs/>
          <w:sz w:val="24"/>
          <w:szCs w:val="24"/>
        </w:rPr>
        <w:t>ТКБ Инвестмент Партнерс (АО)</w:t>
      </w:r>
    </w:p>
    <w:p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    </w:t>
      </w:r>
      <w:r w:rsidR="00C435CB">
        <w:rPr>
          <w:b/>
          <w:bCs/>
          <w:sz w:val="24"/>
          <w:szCs w:val="24"/>
        </w:rPr>
        <w:t xml:space="preserve">    </w:t>
      </w:r>
      <w:r w:rsidR="001240EF">
        <w:rPr>
          <w:b/>
          <w:bCs/>
          <w:sz w:val="24"/>
          <w:szCs w:val="24"/>
        </w:rPr>
        <w:t>Коровкиным А.А.</w:t>
      </w:r>
    </w:p>
    <w:p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</w:t>
      </w:r>
      <w:r w:rsidR="00C15C2C">
        <w:rPr>
          <w:b/>
          <w:bCs/>
          <w:sz w:val="24"/>
          <w:szCs w:val="24"/>
        </w:rPr>
        <w:t xml:space="preserve">               </w:t>
      </w:r>
      <w:r w:rsidR="00400301">
        <w:rPr>
          <w:b/>
          <w:bCs/>
          <w:sz w:val="24"/>
          <w:szCs w:val="24"/>
        </w:rPr>
        <w:t xml:space="preserve">   </w:t>
      </w:r>
      <w:r w:rsidR="0020024D">
        <w:rPr>
          <w:b/>
          <w:bCs/>
          <w:sz w:val="24"/>
          <w:szCs w:val="24"/>
        </w:rPr>
        <w:t xml:space="preserve">       </w:t>
      </w:r>
      <w:r w:rsidR="001240EF">
        <w:rPr>
          <w:b/>
          <w:bCs/>
          <w:sz w:val="24"/>
          <w:szCs w:val="24"/>
        </w:rPr>
        <w:t>от  «21</w:t>
      </w:r>
      <w:r w:rsidRPr="00E9397C">
        <w:rPr>
          <w:b/>
          <w:bCs/>
          <w:sz w:val="24"/>
          <w:szCs w:val="24"/>
        </w:rPr>
        <w:t xml:space="preserve">» </w:t>
      </w:r>
      <w:r w:rsidR="001240EF">
        <w:rPr>
          <w:b/>
          <w:bCs/>
          <w:sz w:val="24"/>
          <w:szCs w:val="24"/>
        </w:rPr>
        <w:t>июня</w:t>
      </w:r>
      <w:r w:rsidRPr="00E9397C">
        <w:rPr>
          <w:b/>
          <w:bCs/>
          <w:sz w:val="24"/>
          <w:szCs w:val="24"/>
        </w:rPr>
        <w:t xml:space="preserve"> 202</w:t>
      </w:r>
      <w:r w:rsidR="00C435CB">
        <w:rPr>
          <w:b/>
          <w:bCs/>
          <w:sz w:val="24"/>
          <w:szCs w:val="24"/>
        </w:rPr>
        <w:t>4</w:t>
      </w:r>
      <w:r w:rsidRPr="00E9397C">
        <w:rPr>
          <w:b/>
          <w:bCs/>
          <w:sz w:val="24"/>
          <w:szCs w:val="24"/>
        </w:rPr>
        <w:t xml:space="preserve"> г. №</w:t>
      </w:r>
      <w:r w:rsidR="0066112F">
        <w:rPr>
          <w:b/>
          <w:bCs/>
          <w:sz w:val="24"/>
          <w:szCs w:val="24"/>
        </w:rPr>
        <w:t xml:space="preserve"> </w:t>
      </w:r>
      <w:r w:rsidR="0020024D">
        <w:rPr>
          <w:b/>
          <w:bCs/>
          <w:sz w:val="24"/>
          <w:szCs w:val="24"/>
        </w:rPr>
        <w:t>111</w:t>
      </w:r>
    </w:p>
    <w:p w:rsidR="00496F37" w:rsidRDefault="00496F37" w:rsidP="00E9397C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3C0865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E9397C">
        <w:rPr>
          <w:rFonts w:ascii="Times New Roman" w:hAnsi="Times New Roman" w:cs="Times New Roman"/>
          <w:b/>
          <w:bCs/>
        </w:rPr>
        <w:t>3</w:t>
      </w:r>
      <w:r w:rsidR="001240EF">
        <w:rPr>
          <w:rFonts w:ascii="Times New Roman" w:hAnsi="Times New Roman" w:cs="Times New Roman"/>
          <w:b/>
          <w:bCs/>
        </w:rPr>
        <w:t>8</w:t>
      </w:r>
    </w:p>
    <w:p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203E3A" w:rsidTr="00DF58C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Номер редакти-руемого</w:t>
            </w:r>
          </w:p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FD5552" w:rsidRPr="00203E3A" w:rsidTr="00DF58CB">
        <w:trPr>
          <w:trHeight w:val="652"/>
        </w:trPr>
        <w:tc>
          <w:tcPr>
            <w:tcW w:w="568" w:type="dxa"/>
          </w:tcPr>
          <w:p w:rsidR="00FD5552" w:rsidRPr="00FD5552" w:rsidRDefault="00FD5552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FD5552" w:rsidRDefault="00FD5552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21.1.</w:t>
            </w:r>
          </w:p>
        </w:tc>
        <w:tc>
          <w:tcPr>
            <w:tcW w:w="4168" w:type="dxa"/>
          </w:tcPr>
          <w:p w:rsidR="00FD5552" w:rsidRPr="00FD5552" w:rsidRDefault="00FD5552" w:rsidP="00FD5552">
            <w:pPr>
              <w:autoSpaceDE/>
              <w:autoSpaceDN/>
              <w:spacing w:before="60" w:after="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Формирование портфеля активов фонда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Принятие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управляющей</w:t>
            </w:r>
            <w:r w:rsidRPr="00FD5552">
              <w:rPr>
                <w:sz w:val="22"/>
                <w:szCs w:val="22"/>
                <w:lang w:eastAsia="en-US"/>
              </w:rPr>
              <w:t xml:space="preserve"> компанией решения о включении тех или иных активов в модельный портфель фонда осуществляется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FD5552">
              <w:rPr>
                <w:sz w:val="22"/>
                <w:szCs w:val="22"/>
                <w:lang w:eastAsia="en-US"/>
              </w:rPr>
              <w:t xml:space="preserve">макроэкономического анализа, так и анализа фундаментальных показателей отдельных компаний (эмитентов) с учетом имеющейся у </w:t>
            </w:r>
            <w:r w:rsidRPr="00FD5552">
              <w:rPr>
                <w:color w:val="000000"/>
                <w:sz w:val="22"/>
                <w:szCs w:val="22"/>
                <w:lang w:eastAsia="en-US"/>
              </w:rPr>
              <w:t>управляющей</w:t>
            </w:r>
            <w:r w:rsidRPr="00FD5552">
              <w:rPr>
                <w:sz w:val="22"/>
                <w:szCs w:val="22"/>
                <w:lang w:eastAsia="en-US"/>
              </w:rPr>
              <w:t xml:space="preserve">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:rsidR="00FD5552" w:rsidRPr="00FD5552" w:rsidRDefault="00FD5552" w:rsidP="00FD5552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Макроэкономический анализ используется, в том числе, для прогнозирования динамики рынков различных классов активов, в первую очередь таких, как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долевые финансовые инструменты (акции) и долговые финансовые инструменты (в том числе облигации),</w:t>
            </w:r>
            <w:r w:rsidRPr="00FD5552">
              <w:rPr>
                <w:sz w:val="22"/>
                <w:szCs w:val="22"/>
                <w:lang w:eastAsia="en-US"/>
              </w:rPr>
              <w:t xml:space="preserve"> с целью определения целевой структуры модельного портфеля фонда по отдельным классам активов с учетом инвестиционной стратегии фонда. В основе макроэкономического анализа лежит оценка таких российских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>Кроме того, макроэкономический анализ используется для прогнозирования динамики рынков процентных ставок, формы кривой доходности (</w:t>
            </w:r>
            <w:r w:rsidRPr="00FD5552">
              <w:rPr>
                <w:sz w:val="22"/>
                <w:szCs w:val="22"/>
                <w:lang w:val="en-US" w:eastAsia="en-US"/>
              </w:rPr>
              <w:t>Yield</w:t>
            </w:r>
            <w:r w:rsidRPr="00FD5552">
              <w:rPr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sz w:val="22"/>
                <w:szCs w:val="22"/>
                <w:lang w:val="en-US" w:eastAsia="en-US"/>
              </w:rPr>
              <w:t>Curve</w:t>
            </w:r>
            <w:r w:rsidRPr="00FD5552">
              <w:rPr>
                <w:sz w:val="22"/>
                <w:szCs w:val="22"/>
                <w:lang w:eastAsia="en-US"/>
              </w:rPr>
              <w:t xml:space="preserve">) и кредитных спредов (разницы между </w:t>
            </w:r>
            <w:r w:rsidRPr="00FD5552">
              <w:rPr>
                <w:sz w:val="22"/>
                <w:szCs w:val="22"/>
                <w:lang w:eastAsia="en-US"/>
              </w:rPr>
              <w:lastRenderedPageBreak/>
              <w:t>доходностью облигации и доходностью аналогичной по срочности облигации федерального займа) корпоративных эмитентов для различных групп кредитных рейтингов.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Частью макроэкономического анализа является также </w:t>
            </w:r>
            <w:r w:rsidRPr="00FD5552">
              <w:rPr>
                <w:color w:val="000000"/>
                <w:sz w:val="22"/>
                <w:szCs w:val="22"/>
                <w:lang w:eastAsia="en-US"/>
              </w:rPr>
              <w:t>отраслевой анализ, осуществляемый с целью выявления отраслей экономики, в которых совокупность анализируемых параметров в силу специфики ведения бизнеса в данных отраслях больше благоприятствует его развитию (перспективные отрасли), чем в других отраслях, для чего помимо прочего анализируются такие показатели, как текущие фазы циклических отраслей, конкурентное окружение, законодательная среда, тренды цены, спроса и предложения на специфические для отдельных отраслей товары, продукцию и услуги.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/>
                <w:sz w:val="22"/>
                <w:szCs w:val="22"/>
                <w:lang w:eastAsia="en-US"/>
              </w:rPr>
              <w:t xml:space="preserve">Анализ конкретных эмитентов (компаний) осуществляется управляющей компанией в целях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формирования оценки кредитного качества эмитентов (выпусков облигаций), а также оценки ожидаемого соотношения доходности и инвестиционного риска по акциям компаний.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риска, связанного с инвестированием в те или иные ценные бумаг отдельных компаний, осуществляется на основе результатов макроэкономического анализа, анализа рыночных и финансовых показателей компаний, относящихся к таким группам, как показатели кредитного качества компании, показатели финансовой устойчивости компании, показатели рентабельности бизнеса, показатели уровня капиталоемкости бизнеса и конкурентоспособности компании в соответствующей отрасли экономики и т.п.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компаний, как соотношение цены акции и чистой прибыли на одну акцию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P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к прибыли до вычета налогов, процентов и амортизации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EBITDA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и инвестированного капитала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Invested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Capital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доходность свободного денежного потока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FCFE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Yield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дивидендная доходность.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Ожидаемая доходность ценных бумаг оценивается с учетом прогнозируемой рыночной переоценки ценных бумаг, а также с учетом ожидаемой дивидендной доходности эмитента для акций и ожидаемой купонной доходности и доходности к погашению для облигаций.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При принятии решения о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включении</w:t>
            </w:r>
            <w:r w:rsidRPr="00FD5552">
              <w:rPr>
                <w:sz w:val="22"/>
                <w:szCs w:val="22"/>
                <w:lang w:eastAsia="en-US"/>
              </w:rPr>
              <w:t xml:space="preserve"> в состав модельного портфеля фонда конкретных ценных бумаг и о весе такого актива в модельном портфеле фонда управляющая компания руководствуется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FD5552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с учетом иных положений настоящих Правил, требований законодательства Российской Федерации к составу и структуре активов фонда. 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 </w:t>
            </w:r>
            <w:r w:rsidRPr="00FD5552">
              <w:rPr>
                <w:b/>
                <w:color w:val="000000" w:themeColor="text1"/>
                <w:sz w:val="22"/>
                <w:szCs w:val="22"/>
                <w:lang w:eastAsia="en-US"/>
              </w:rPr>
              <w:t>с учетом текущей рыночной конъюнктуры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FD5552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:rsidR="00FD5552" w:rsidRPr="001240EF" w:rsidRDefault="00FD5552" w:rsidP="001240EF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FD5552" w:rsidRPr="00FD5552" w:rsidRDefault="00FD5552" w:rsidP="00FD5552">
            <w:pPr>
              <w:autoSpaceDE/>
              <w:autoSpaceDN/>
              <w:spacing w:before="60" w:after="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Формирование портфеля активов фонда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Принятие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управляющей</w:t>
            </w:r>
            <w:r w:rsidRPr="00FD5552">
              <w:rPr>
                <w:sz w:val="22"/>
                <w:szCs w:val="22"/>
                <w:lang w:eastAsia="en-US"/>
              </w:rPr>
              <w:t xml:space="preserve"> компанией решения о включении тех или иных активов в модельный портфель фонда осуществляется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FD5552">
              <w:rPr>
                <w:sz w:val="22"/>
                <w:szCs w:val="22"/>
                <w:lang w:eastAsia="en-US"/>
              </w:rPr>
              <w:t xml:space="preserve">макроэкономического анализа, так и анализа фундаментальных показателей отдельных компаний (эмитентов) с учетом имеющейся у </w:t>
            </w:r>
            <w:r w:rsidRPr="00FD5552">
              <w:rPr>
                <w:color w:val="000000"/>
                <w:sz w:val="22"/>
                <w:szCs w:val="22"/>
                <w:lang w:eastAsia="en-US"/>
              </w:rPr>
              <w:t>управляющей</w:t>
            </w:r>
            <w:r w:rsidRPr="00FD5552">
              <w:rPr>
                <w:sz w:val="22"/>
                <w:szCs w:val="22"/>
                <w:lang w:eastAsia="en-US"/>
              </w:rPr>
              <w:t xml:space="preserve">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:rsidR="00FD5552" w:rsidRPr="00FD5552" w:rsidRDefault="00FD5552" w:rsidP="00FD5552">
            <w:pPr>
              <w:autoSpaceDE/>
              <w:autoSpaceDN/>
              <w:spacing w:before="12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Макроэкономический анализ используется, в том числе, для прогнозирования динамики рынков различных классов активов, в первую очередь таких, как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долевые финансовые инструменты (акции) и долговые финансовые инструменты (в том числе облигации),</w:t>
            </w:r>
            <w:r w:rsidRPr="00FD5552">
              <w:rPr>
                <w:sz w:val="22"/>
                <w:szCs w:val="22"/>
                <w:lang w:eastAsia="en-US"/>
              </w:rPr>
              <w:t xml:space="preserve"> с целью определения целевой структуры модельного портфеля фонда по отдельным классам активов с учетом инвестиционной стратегии фонда. В основе макроэкономического анализа лежит оценка таких российских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>Кроме того, макроэкономический анализ используется для прогнозирования динамики рынков процентных ставок, формы кривой доходности (</w:t>
            </w:r>
            <w:r w:rsidRPr="00FD5552">
              <w:rPr>
                <w:sz w:val="22"/>
                <w:szCs w:val="22"/>
                <w:lang w:val="en-US" w:eastAsia="en-US"/>
              </w:rPr>
              <w:t>Yield</w:t>
            </w:r>
            <w:r w:rsidRPr="00FD5552">
              <w:rPr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sz w:val="22"/>
                <w:szCs w:val="22"/>
                <w:lang w:val="en-US" w:eastAsia="en-US"/>
              </w:rPr>
              <w:t>Curve</w:t>
            </w:r>
            <w:r w:rsidRPr="00FD5552">
              <w:rPr>
                <w:sz w:val="22"/>
                <w:szCs w:val="22"/>
                <w:lang w:eastAsia="en-US"/>
              </w:rPr>
              <w:t xml:space="preserve">) и кредитных спредов (разницы между </w:t>
            </w:r>
            <w:r w:rsidRPr="00FD5552">
              <w:rPr>
                <w:sz w:val="22"/>
                <w:szCs w:val="22"/>
                <w:lang w:eastAsia="en-US"/>
              </w:rPr>
              <w:lastRenderedPageBreak/>
              <w:t>доходностью облигации и доходностью аналогичной по срочности облигации федерального займа) корпоративных эмитентов для различных групп кредитных рейтингов.</w:t>
            </w:r>
          </w:p>
          <w:p w:rsidR="00FD5552" w:rsidRPr="00FD5552" w:rsidRDefault="00FD5552" w:rsidP="00FD5552">
            <w:pPr>
              <w:autoSpaceDE/>
              <w:autoSpaceDN/>
              <w:spacing w:before="60" w:after="60"/>
              <w:ind w:firstLine="72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Частью макроэкономического анализа является также </w:t>
            </w:r>
            <w:r w:rsidRPr="00FD5552">
              <w:rPr>
                <w:color w:val="000000"/>
                <w:sz w:val="22"/>
                <w:szCs w:val="22"/>
                <w:lang w:eastAsia="en-US"/>
              </w:rPr>
              <w:t>отраслевой анализ, осуществляемый с целью выявления отраслей экономики, в которых совокупность анализируемых параметров в силу специфики ведения бизнеса в данных отраслях больше благоприятствует его развитию (перспективные отрасли), чем в других отраслях, для чего помимо прочего анализируются такие показатели, как текущие фазы циклических отраслей, конкурентное окружение, законодательная среда, тренды цены, спроса и предложения на специфические для отдельных отраслей товары, продукцию и услуги.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/>
                <w:sz w:val="22"/>
                <w:szCs w:val="22"/>
                <w:lang w:eastAsia="en-US"/>
              </w:rPr>
              <w:t xml:space="preserve">Анализ конкретных эмитентов (компаний) осуществляется управляющей компанией в целях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формирования оценки кредитного качества эмитентов (выпусков облигаций), а также оценки ожидаемого соотношения доходности и инвестиционного риска по акциям компаний.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риска, связанного с инвестированием в те или иные ценные бумаг отдельных компаний, осуществляется на основе результатов макроэкономического анализа, анализа рыночных и финансовых показателей компаний, относящихся к таким группам, как показатели кредитного качества компании, показатели финансовой устойчивости компании, показатели рентабельности бизнеса, показатели уровня капиталоемкости бизнеса и конкурентоспособности компании в соответствующей отрасли экономики и т.п.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компаний, как соотношение цены акции и чистой прибыли на одну акцию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P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к прибыли до вычета налогов, процентов и амортизации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EBITDA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и инвестированного капитала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Invested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Capital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доходность свободного денежного потока (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FCFE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D5552">
              <w:rPr>
                <w:color w:val="000000" w:themeColor="text1"/>
                <w:sz w:val="22"/>
                <w:szCs w:val="22"/>
                <w:lang w:val="en-US" w:eastAsia="en-US"/>
              </w:rPr>
              <w:t>Yield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), дивидендная доходность.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Ожидаемая доходность ценных бумаг оценивается с учетом прогнозируемой рыночной переоценки ценных бумаг, а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также с учетом ожидаемой дивидендной доходности эмитента для акций и ожидаемой купонной доходности и доходности к погашению для облигаций.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FD5552">
              <w:rPr>
                <w:sz w:val="22"/>
                <w:szCs w:val="22"/>
                <w:lang w:eastAsia="en-US"/>
              </w:rPr>
              <w:t xml:space="preserve">При принятии решения о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включении</w:t>
            </w:r>
            <w:r w:rsidRPr="00FD5552">
              <w:rPr>
                <w:sz w:val="22"/>
                <w:szCs w:val="22"/>
                <w:lang w:eastAsia="en-US"/>
              </w:rPr>
              <w:t xml:space="preserve"> в состав модельного портфеля фонда конкретных ценных бумаг и о весе такого актива в модельном портфеле фонда управляющая компания руководствуется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FD5552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с учетом иных положений настоящих Правил, требований законодательства Российской Федерации к составу и структуре активов фонда. 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фонда.</w:t>
            </w:r>
          </w:p>
          <w:p w:rsidR="00FD5552" w:rsidRPr="00FD5552" w:rsidRDefault="00FD5552" w:rsidP="00FD55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FD5552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FD5552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:rsidR="00FD5552" w:rsidRPr="001240EF" w:rsidRDefault="00FD5552" w:rsidP="001240EF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4DF4" w:rsidRPr="00203E3A" w:rsidTr="00DF58CB">
        <w:trPr>
          <w:trHeight w:val="652"/>
        </w:trPr>
        <w:tc>
          <w:tcPr>
            <w:tcW w:w="568" w:type="dxa"/>
          </w:tcPr>
          <w:p w:rsidR="00484DF4" w:rsidRPr="00FD5552" w:rsidRDefault="00FD5552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:rsidR="00484DF4" w:rsidRPr="001240EF" w:rsidRDefault="001240EF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88.</w:t>
            </w:r>
          </w:p>
        </w:tc>
        <w:tc>
          <w:tcPr>
            <w:tcW w:w="4168" w:type="dxa"/>
          </w:tcPr>
          <w:p w:rsidR="001240EF" w:rsidRPr="001240EF" w:rsidRDefault="001240EF" w:rsidP="001240EF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1240EF">
              <w:rPr>
                <w:sz w:val="22"/>
                <w:szCs w:val="22"/>
                <w:lang w:eastAsia="en-US"/>
              </w:rPr>
              <w:t xml:space="preserve">Инвестиционные паи могут обмениваться на инвестиционные паи: 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z w:val="22"/>
                <w:szCs w:val="22"/>
              </w:rPr>
              <w:t>«ТКБ Инвестмент Партнерс – Фонд облигаций»;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z w:val="22"/>
                <w:szCs w:val="22"/>
              </w:rPr>
              <w:t>«ТКБ Инвестмент Партнерс – Фонд акций глобальный»;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1240EF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z w:val="22"/>
                <w:szCs w:val="22"/>
              </w:rPr>
              <w:t xml:space="preserve">рыночных финансовых </w:t>
            </w:r>
            <w:r w:rsidRPr="001240EF">
              <w:rPr>
                <w:bCs/>
                <w:sz w:val="22"/>
                <w:szCs w:val="22"/>
              </w:rPr>
              <w:lastRenderedPageBreak/>
              <w:t xml:space="preserve">инструментов </w:t>
            </w:r>
            <w:r w:rsidRPr="001240EF">
              <w:rPr>
                <w:sz w:val="22"/>
                <w:szCs w:val="22"/>
              </w:rPr>
              <w:t>«ТКБ Инвестмент Партнерс – Премиум. Фонд акций»;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pacing w:val="-1"/>
                <w:sz w:val="22"/>
                <w:szCs w:val="22"/>
              </w:rPr>
              <w:t xml:space="preserve">«ТКБ </w:t>
            </w:r>
            <w:r w:rsidRPr="001240EF">
              <w:rPr>
                <w:sz w:val="22"/>
                <w:szCs w:val="22"/>
              </w:rPr>
              <w:t>Инвестмент Партнерс</w:t>
            </w:r>
            <w:r w:rsidRPr="001240EF">
              <w:rPr>
                <w:spacing w:val="-1"/>
                <w:sz w:val="22"/>
                <w:szCs w:val="22"/>
              </w:rPr>
              <w:t xml:space="preserve"> – Золото»;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pacing w:val="-1"/>
                <w:sz w:val="22"/>
                <w:szCs w:val="22"/>
              </w:rPr>
              <w:t xml:space="preserve">«ТКБ </w:t>
            </w:r>
            <w:r w:rsidRPr="001240EF">
              <w:rPr>
                <w:sz w:val="22"/>
                <w:szCs w:val="22"/>
              </w:rPr>
              <w:t>Инвестмент Партнерс</w:t>
            </w:r>
            <w:r w:rsidRPr="001240EF">
              <w:rPr>
                <w:spacing w:val="-1"/>
                <w:sz w:val="22"/>
                <w:szCs w:val="22"/>
              </w:rPr>
              <w:t xml:space="preserve"> – Фонд валютных облигаций»;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pacing w:val="-1"/>
                <w:sz w:val="22"/>
                <w:szCs w:val="22"/>
              </w:rPr>
              <w:t>рыночных финансовых инструментов «ТКБ Инвестмент Партнерс – Фонд сбалансированный глобальный»</w:t>
            </w:r>
            <w:r w:rsidRPr="001240EF">
              <w:rPr>
                <w:spacing w:val="-1"/>
                <w:sz w:val="22"/>
                <w:szCs w:val="22"/>
              </w:rPr>
              <w:t>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1240EF" w:rsidRPr="001240EF" w:rsidRDefault="001240EF" w:rsidP="001240EF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1240EF">
              <w:rPr>
                <w:sz w:val="22"/>
                <w:szCs w:val="22"/>
                <w:lang w:eastAsia="en-US"/>
              </w:rPr>
              <w:lastRenderedPageBreak/>
              <w:t xml:space="preserve">Инвестиционные паи могут обмениваться на инвестиционные паи: 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z w:val="22"/>
                <w:szCs w:val="22"/>
              </w:rPr>
              <w:t>«ТКБ Инвестмент Партнерс – Фонд облигаций»;</w:t>
            </w:r>
          </w:p>
          <w:p w:rsidR="001240EF" w:rsidRPr="00C41CB9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C41CB9">
              <w:rPr>
                <w:b/>
                <w:sz w:val="22"/>
                <w:szCs w:val="22"/>
              </w:rPr>
              <w:t xml:space="preserve">Открытого паевого инвестиционного фонда </w:t>
            </w:r>
            <w:r w:rsidRPr="00C41CB9">
              <w:rPr>
                <w:b/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C41CB9">
              <w:rPr>
                <w:b/>
                <w:sz w:val="22"/>
                <w:szCs w:val="22"/>
              </w:rPr>
              <w:t>«ТКБ Инвестмент Партнерс – Фонд сбалансированный с выплатой дохода»;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1240EF">
              <w:rPr>
                <w:sz w:val="22"/>
                <w:szCs w:val="22"/>
              </w:rPr>
              <w:lastRenderedPageBreak/>
              <w:t xml:space="preserve">Открытого паевого инвестиционного фонда </w:t>
            </w:r>
            <w:r w:rsidRPr="001240EF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z w:val="22"/>
                <w:szCs w:val="22"/>
              </w:rPr>
              <w:t>«ТКБ Инвестмент Партнерс – Премиум. Фонд акций»;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pacing w:val="-1"/>
                <w:sz w:val="22"/>
                <w:szCs w:val="22"/>
              </w:rPr>
              <w:t xml:space="preserve">«ТКБ </w:t>
            </w:r>
            <w:r w:rsidRPr="001240EF">
              <w:rPr>
                <w:sz w:val="22"/>
                <w:szCs w:val="22"/>
              </w:rPr>
              <w:t>Инвестмент Партнерс</w:t>
            </w:r>
            <w:r w:rsidRPr="001240EF">
              <w:rPr>
                <w:spacing w:val="-1"/>
                <w:sz w:val="22"/>
                <w:szCs w:val="22"/>
              </w:rPr>
              <w:t xml:space="preserve"> – Золото»;</w:t>
            </w:r>
          </w:p>
          <w:p w:rsidR="001240EF" w:rsidRPr="001240EF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1240EF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1240EF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1240EF">
              <w:rPr>
                <w:spacing w:val="-1"/>
                <w:sz w:val="22"/>
                <w:szCs w:val="22"/>
              </w:rPr>
              <w:t xml:space="preserve">«ТКБ </w:t>
            </w:r>
            <w:r w:rsidRPr="001240EF">
              <w:rPr>
                <w:sz w:val="22"/>
                <w:szCs w:val="22"/>
              </w:rPr>
              <w:t>Инвестмент Партнерс</w:t>
            </w:r>
            <w:r w:rsidRPr="001240EF">
              <w:rPr>
                <w:spacing w:val="-1"/>
                <w:sz w:val="22"/>
                <w:szCs w:val="22"/>
              </w:rPr>
              <w:t xml:space="preserve"> – Фонд валютных облигаций»;</w:t>
            </w:r>
          </w:p>
          <w:p w:rsidR="001240EF" w:rsidRPr="00C41CB9" w:rsidRDefault="001240EF" w:rsidP="001240EF">
            <w:pPr>
              <w:numPr>
                <w:ilvl w:val="0"/>
                <w:numId w:val="16"/>
              </w:num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C41CB9">
              <w:rPr>
                <w:b/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C41CB9">
              <w:rPr>
                <w:b/>
                <w:bCs/>
                <w:spacing w:val="-1"/>
                <w:sz w:val="22"/>
                <w:szCs w:val="22"/>
              </w:rPr>
              <w:t>рыночных финансовых инструментов «ТКБ Инвестмент Партнерс – Перспектива»</w:t>
            </w:r>
            <w:r w:rsidRPr="00C41CB9">
              <w:rPr>
                <w:b/>
                <w:spacing w:val="-1"/>
                <w:sz w:val="22"/>
                <w:szCs w:val="22"/>
              </w:rPr>
              <w:t>.</w:t>
            </w:r>
          </w:p>
          <w:p w:rsidR="00484DF4" w:rsidRPr="00D15C6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086145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:rsidR="00E1102A" w:rsidRPr="00C41CB9" w:rsidRDefault="008116CF" w:rsidP="001240EF">
      <w:pPr>
        <w:pStyle w:val="fieldcomment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086145">
        <w:rPr>
          <w:rFonts w:ascii="Times New Roman" w:hAnsi="Times New Roman" w:cs="Times New Roman"/>
          <w:sz w:val="22"/>
          <w:szCs w:val="22"/>
          <w:lang w:val="ru-RU"/>
        </w:rPr>
        <w:t>Д. Н. Тимофеев</w:t>
      </w:r>
    </w:p>
    <w:sectPr w:rsidR="00E1102A" w:rsidRPr="00C41CB9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35" w:rsidRDefault="00456535" w:rsidP="009C0A43">
      <w:pPr>
        <w:pStyle w:val="BodyNum"/>
      </w:pPr>
      <w:r>
        <w:separator/>
      </w:r>
    </w:p>
  </w:endnote>
  <w:endnote w:type="continuationSeparator" w:id="0">
    <w:p w:rsidR="00456535" w:rsidRDefault="00456535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2" w:rsidRDefault="008223F3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F66905">
      <w:rPr>
        <w:noProof/>
      </w:rPr>
      <w:t>1</w:t>
    </w:r>
    <w:r>
      <w:rPr>
        <w:noProof/>
      </w:rPr>
      <w:fldChar w:fldCharType="end"/>
    </w:r>
  </w:p>
  <w:p w:rsidR="00117492" w:rsidRDefault="00117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35" w:rsidRDefault="00456535" w:rsidP="009C0A43">
      <w:pPr>
        <w:pStyle w:val="BodyNum"/>
      </w:pPr>
      <w:r>
        <w:separator/>
      </w:r>
    </w:p>
  </w:footnote>
  <w:footnote w:type="continuationSeparator" w:id="0">
    <w:p w:rsidR="00456535" w:rsidRDefault="00456535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6EBB"/>
    <w:rsid w:val="0007749A"/>
    <w:rsid w:val="000778AF"/>
    <w:rsid w:val="00081837"/>
    <w:rsid w:val="00086145"/>
    <w:rsid w:val="00093551"/>
    <w:rsid w:val="000955CA"/>
    <w:rsid w:val="000A1511"/>
    <w:rsid w:val="000A32A4"/>
    <w:rsid w:val="000B12AE"/>
    <w:rsid w:val="000B1E4E"/>
    <w:rsid w:val="000B263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0E9"/>
    <w:rsid w:val="000E33AB"/>
    <w:rsid w:val="000E7B4F"/>
    <w:rsid w:val="000F041C"/>
    <w:rsid w:val="000F1E5A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40EF"/>
    <w:rsid w:val="00126A50"/>
    <w:rsid w:val="00126B2D"/>
    <w:rsid w:val="001324E4"/>
    <w:rsid w:val="00133932"/>
    <w:rsid w:val="00140951"/>
    <w:rsid w:val="001414B0"/>
    <w:rsid w:val="00142D36"/>
    <w:rsid w:val="001468F9"/>
    <w:rsid w:val="00147924"/>
    <w:rsid w:val="0015367B"/>
    <w:rsid w:val="00153F15"/>
    <w:rsid w:val="00154565"/>
    <w:rsid w:val="00155879"/>
    <w:rsid w:val="0015723A"/>
    <w:rsid w:val="00157FDD"/>
    <w:rsid w:val="001605B7"/>
    <w:rsid w:val="001629AD"/>
    <w:rsid w:val="001646CD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24D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2AE4"/>
    <w:rsid w:val="00223539"/>
    <w:rsid w:val="002254BE"/>
    <w:rsid w:val="00225B6C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1894"/>
    <w:rsid w:val="00254340"/>
    <w:rsid w:val="00254C78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7DA9"/>
    <w:rsid w:val="002B2901"/>
    <w:rsid w:val="002B4D7C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301192"/>
    <w:rsid w:val="00302683"/>
    <w:rsid w:val="00302B12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1402"/>
    <w:rsid w:val="00332E2D"/>
    <w:rsid w:val="00333BB1"/>
    <w:rsid w:val="003371AD"/>
    <w:rsid w:val="00340103"/>
    <w:rsid w:val="00343DD1"/>
    <w:rsid w:val="003479EF"/>
    <w:rsid w:val="003502CA"/>
    <w:rsid w:val="003502F1"/>
    <w:rsid w:val="0035203D"/>
    <w:rsid w:val="003524A9"/>
    <w:rsid w:val="00352CF2"/>
    <w:rsid w:val="00357239"/>
    <w:rsid w:val="003574B6"/>
    <w:rsid w:val="00360726"/>
    <w:rsid w:val="003618FF"/>
    <w:rsid w:val="00362083"/>
    <w:rsid w:val="00363AD7"/>
    <w:rsid w:val="003707ED"/>
    <w:rsid w:val="00373312"/>
    <w:rsid w:val="0037452B"/>
    <w:rsid w:val="0037456B"/>
    <w:rsid w:val="003816DA"/>
    <w:rsid w:val="00386077"/>
    <w:rsid w:val="00390DBF"/>
    <w:rsid w:val="00392647"/>
    <w:rsid w:val="003A0F78"/>
    <w:rsid w:val="003A13E7"/>
    <w:rsid w:val="003A7BA0"/>
    <w:rsid w:val="003B0CC8"/>
    <w:rsid w:val="003B2AEA"/>
    <w:rsid w:val="003B3AC3"/>
    <w:rsid w:val="003B53D2"/>
    <w:rsid w:val="003B6D10"/>
    <w:rsid w:val="003B7E82"/>
    <w:rsid w:val="003C014D"/>
    <w:rsid w:val="003C0865"/>
    <w:rsid w:val="003C45D8"/>
    <w:rsid w:val="003C4EAE"/>
    <w:rsid w:val="003C62C6"/>
    <w:rsid w:val="003C6352"/>
    <w:rsid w:val="003C66D8"/>
    <w:rsid w:val="003D262C"/>
    <w:rsid w:val="003D794C"/>
    <w:rsid w:val="003E1505"/>
    <w:rsid w:val="003E2F66"/>
    <w:rsid w:val="003E386C"/>
    <w:rsid w:val="003E68AA"/>
    <w:rsid w:val="003F04EC"/>
    <w:rsid w:val="003F76C2"/>
    <w:rsid w:val="003F7730"/>
    <w:rsid w:val="00400301"/>
    <w:rsid w:val="00400C9D"/>
    <w:rsid w:val="00403D08"/>
    <w:rsid w:val="00405510"/>
    <w:rsid w:val="00405734"/>
    <w:rsid w:val="00405C34"/>
    <w:rsid w:val="004107A0"/>
    <w:rsid w:val="00411874"/>
    <w:rsid w:val="00411E00"/>
    <w:rsid w:val="00413134"/>
    <w:rsid w:val="00413B98"/>
    <w:rsid w:val="00415418"/>
    <w:rsid w:val="0041753D"/>
    <w:rsid w:val="00417963"/>
    <w:rsid w:val="00420DE6"/>
    <w:rsid w:val="00421D28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6DF7"/>
    <w:rsid w:val="00466E1F"/>
    <w:rsid w:val="00470538"/>
    <w:rsid w:val="00471280"/>
    <w:rsid w:val="004719C7"/>
    <w:rsid w:val="00471AF2"/>
    <w:rsid w:val="0047442D"/>
    <w:rsid w:val="00474990"/>
    <w:rsid w:val="004827FE"/>
    <w:rsid w:val="0048404B"/>
    <w:rsid w:val="00484DF4"/>
    <w:rsid w:val="0048613B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09F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649E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47FF2"/>
    <w:rsid w:val="00651269"/>
    <w:rsid w:val="00653602"/>
    <w:rsid w:val="0066029E"/>
    <w:rsid w:val="00660478"/>
    <w:rsid w:val="0066096F"/>
    <w:rsid w:val="00660D5A"/>
    <w:rsid w:val="0066112F"/>
    <w:rsid w:val="00670C28"/>
    <w:rsid w:val="00671796"/>
    <w:rsid w:val="0067499B"/>
    <w:rsid w:val="00683234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3F0E"/>
    <w:rsid w:val="006E5611"/>
    <w:rsid w:val="006E678F"/>
    <w:rsid w:val="006F23CA"/>
    <w:rsid w:val="006F4E0A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D5261"/>
    <w:rsid w:val="007E0D4A"/>
    <w:rsid w:val="007E54D8"/>
    <w:rsid w:val="007E7C30"/>
    <w:rsid w:val="007F034F"/>
    <w:rsid w:val="007F3F24"/>
    <w:rsid w:val="007F49F3"/>
    <w:rsid w:val="00802005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B64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6A69"/>
    <w:rsid w:val="008B746D"/>
    <w:rsid w:val="008C150C"/>
    <w:rsid w:val="008C4726"/>
    <w:rsid w:val="008D444A"/>
    <w:rsid w:val="008D7DC1"/>
    <w:rsid w:val="008E5619"/>
    <w:rsid w:val="008E758D"/>
    <w:rsid w:val="008F0B83"/>
    <w:rsid w:val="008F0BF4"/>
    <w:rsid w:val="0090132B"/>
    <w:rsid w:val="00906143"/>
    <w:rsid w:val="00910EFD"/>
    <w:rsid w:val="009115C1"/>
    <w:rsid w:val="009126D7"/>
    <w:rsid w:val="00916B1F"/>
    <w:rsid w:val="00930789"/>
    <w:rsid w:val="00931E98"/>
    <w:rsid w:val="00933833"/>
    <w:rsid w:val="009366CF"/>
    <w:rsid w:val="00940C3E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218"/>
    <w:rsid w:val="00961A01"/>
    <w:rsid w:val="00961D05"/>
    <w:rsid w:val="00962E80"/>
    <w:rsid w:val="00963B0E"/>
    <w:rsid w:val="00963B7F"/>
    <w:rsid w:val="0096458A"/>
    <w:rsid w:val="00966505"/>
    <w:rsid w:val="009723D5"/>
    <w:rsid w:val="009820B4"/>
    <w:rsid w:val="00982839"/>
    <w:rsid w:val="00984064"/>
    <w:rsid w:val="00984541"/>
    <w:rsid w:val="009865F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9F759F"/>
    <w:rsid w:val="00A014AE"/>
    <w:rsid w:val="00A01E3F"/>
    <w:rsid w:val="00A02C73"/>
    <w:rsid w:val="00A02E6F"/>
    <w:rsid w:val="00A04514"/>
    <w:rsid w:val="00A04A63"/>
    <w:rsid w:val="00A06393"/>
    <w:rsid w:val="00A0708F"/>
    <w:rsid w:val="00A11142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40A"/>
    <w:rsid w:val="00A92D22"/>
    <w:rsid w:val="00A95365"/>
    <w:rsid w:val="00A9581C"/>
    <w:rsid w:val="00AA13D7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3829"/>
    <w:rsid w:val="00AE573A"/>
    <w:rsid w:val="00AE6A66"/>
    <w:rsid w:val="00AF0324"/>
    <w:rsid w:val="00AF3FE6"/>
    <w:rsid w:val="00AF5898"/>
    <w:rsid w:val="00AF5C18"/>
    <w:rsid w:val="00AF6D64"/>
    <w:rsid w:val="00B003EF"/>
    <w:rsid w:val="00B00E57"/>
    <w:rsid w:val="00B0355C"/>
    <w:rsid w:val="00B04FA2"/>
    <w:rsid w:val="00B10314"/>
    <w:rsid w:val="00B1069A"/>
    <w:rsid w:val="00B113F3"/>
    <w:rsid w:val="00B1254B"/>
    <w:rsid w:val="00B15330"/>
    <w:rsid w:val="00B16E19"/>
    <w:rsid w:val="00B20607"/>
    <w:rsid w:val="00B31C01"/>
    <w:rsid w:val="00B326FA"/>
    <w:rsid w:val="00B44115"/>
    <w:rsid w:val="00B45E69"/>
    <w:rsid w:val="00B47715"/>
    <w:rsid w:val="00B47C36"/>
    <w:rsid w:val="00B50D0C"/>
    <w:rsid w:val="00B550BF"/>
    <w:rsid w:val="00B6052C"/>
    <w:rsid w:val="00B656AB"/>
    <w:rsid w:val="00B674FE"/>
    <w:rsid w:val="00B712CD"/>
    <w:rsid w:val="00B77066"/>
    <w:rsid w:val="00B81B78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BF5FC0"/>
    <w:rsid w:val="00C02ED6"/>
    <w:rsid w:val="00C051F7"/>
    <w:rsid w:val="00C067A6"/>
    <w:rsid w:val="00C10356"/>
    <w:rsid w:val="00C115CC"/>
    <w:rsid w:val="00C1315A"/>
    <w:rsid w:val="00C15C2C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1CB9"/>
    <w:rsid w:val="00C425C6"/>
    <w:rsid w:val="00C42B2A"/>
    <w:rsid w:val="00C42B4F"/>
    <w:rsid w:val="00C4345E"/>
    <w:rsid w:val="00C435CB"/>
    <w:rsid w:val="00C44FE3"/>
    <w:rsid w:val="00C45946"/>
    <w:rsid w:val="00C45DD5"/>
    <w:rsid w:val="00C45ED5"/>
    <w:rsid w:val="00C46077"/>
    <w:rsid w:val="00C54A32"/>
    <w:rsid w:val="00C571C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3ED6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E5889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15C64"/>
    <w:rsid w:val="00D20418"/>
    <w:rsid w:val="00D20F76"/>
    <w:rsid w:val="00D21AD6"/>
    <w:rsid w:val="00D27240"/>
    <w:rsid w:val="00D27523"/>
    <w:rsid w:val="00D306FB"/>
    <w:rsid w:val="00D33E8A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96EF2"/>
    <w:rsid w:val="00DA1023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102A"/>
    <w:rsid w:val="00E1226B"/>
    <w:rsid w:val="00E1589E"/>
    <w:rsid w:val="00E15B3B"/>
    <w:rsid w:val="00E15CBA"/>
    <w:rsid w:val="00E16778"/>
    <w:rsid w:val="00E20275"/>
    <w:rsid w:val="00E21224"/>
    <w:rsid w:val="00E21475"/>
    <w:rsid w:val="00E24043"/>
    <w:rsid w:val="00E263D6"/>
    <w:rsid w:val="00E2701B"/>
    <w:rsid w:val="00E27563"/>
    <w:rsid w:val="00E3081D"/>
    <w:rsid w:val="00E30BDC"/>
    <w:rsid w:val="00E30C42"/>
    <w:rsid w:val="00E363E1"/>
    <w:rsid w:val="00E36AFB"/>
    <w:rsid w:val="00E3703D"/>
    <w:rsid w:val="00E406B1"/>
    <w:rsid w:val="00E408FF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5F38"/>
    <w:rsid w:val="00E57C83"/>
    <w:rsid w:val="00E63BEA"/>
    <w:rsid w:val="00E6700B"/>
    <w:rsid w:val="00E7143C"/>
    <w:rsid w:val="00E71CF0"/>
    <w:rsid w:val="00E71DC7"/>
    <w:rsid w:val="00E75059"/>
    <w:rsid w:val="00E760F6"/>
    <w:rsid w:val="00E8037F"/>
    <w:rsid w:val="00E825B1"/>
    <w:rsid w:val="00E827EF"/>
    <w:rsid w:val="00E85616"/>
    <w:rsid w:val="00E90A0D"/>
    <w:rsid w:val="00E913DB"/>
    <w:rsid w:val="00E9397C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0F43"/>
    <w:rsid w:val="00ED20DB"/>
    <w:rsid w:val="00ED6A1E"/>
    <w:rsid w:val="00ED6FB4"/>
    <w:rsid w:val="00ED715B"/>
    <w:rsid w:val="00EE1E7A"/>
    <w:rsid w:val="00EE7045"/>
    <w:rsid w:val="00EE7114"/>
    <w:rsid w:val="00EF1B28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6905"/>
    <w:rsid w:val="00F6719B"/>
    <w:rsid w:val="00F701E1"/>
    <w:rsid w:val="00F72AEE"/>
    <w:rsid w:val="00F749E2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5552"/>
    <w:rsid w:val="00FD6889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E07BBC"/>
  <w15:docId w15:val="{F9BADC37-3C8C-4458-A161-9B33B56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1d7872c-6126-4a32-b4d6-b4aed00f16be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9125F-FF67-401F-A0ED-5A0626BC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60A0C-5E04-4D07-ABB9-534BD73C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8</cp:revision>
  <cp:lastPrinted>2022-02-25T07:59:00Z</cp:lastPrinted>
  <dcterms:created xsi:type="dcterms:W3CDTF">2024-06-21T07:51:00Z</dcterms:created>
  <dcterms:modified xsi:type="dcterms:W3CDTF">2024-08-14T06:55:00Z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